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20"/>
        </w:rPr>
      </w:pPr>
      <w:bookmarkStart w:id="0" w:name="avt-20260814xs8.htm"/>
      <w:bookmarkStart w:id="1" w:name="ksavt20260814xs8"/>
      <w:bookmarkEnd w:id="0"/>
      <w:bookmarkEnd w:id="1"/>
      <w:r>
        <w:rPr>
          <w:rFonts w:ascii="Times New Roman;Times;serif" w:hAnsi="Times New Roman;Times;serif"/>
          <w:b/>
          <w:sz w:val="20"/>
        </w:rPr>
        <w:t>As filed with the Securities and Exchange Commission on August 14, 2026</w:t>
      </w:r>
    </w:p>
    <w:p>
      <w:pPr>
        <w:pStyle w:val="TextBody"/>
        <w:bidi w:val="0"/>
        <w:spacing w:before="0" w:after="0"/>
        <w:ind w:left="0" w:right="0" w:hanging="0"/>
        <w:jc w:val="center"/>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Registration No. 333-</w:t>
      </w:r>
    </w:p>
    <w:p>
      <w:pPr>
        <w:pStyle w:val="TextBody"/>
        <w:bidi w:val="0"/>
        <w:spacing w:before="0" w:after="0"/>
        <w:ind w:left="0" w:right="0" w:hanging="0"/>
        <w:jc w:val="right"/>
        <w:rPr/>
      </w:pPr>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S-8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REGISTRATION STATEMENT UNDER THE</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SECURITIES ACT OF 1933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AVNET,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tbl>
      <w:tblPr>
        <w:tblW w:w="4578" w:type="dxa"/>
        <w:jc w:val="center"/>
        <w:tblInd w:w="0" w:type="dxa"/>
        <w:tblLayout w:type="fixed"/>
        <w:tblCellMar>
          <w:top w:w="0" w:type="dxa"/>
          <w:left w:w="0" w:type="dxa"/>
          <w:bottom w:w="0" w:type="dxa"/>
          <w:right w:w="0" w:type="dxa"/>
        </w:tblCellMar>
      </w:tblPr>
      <w:tblGrid>
        <w:gridCol w:w="2581"/>
        <w:gridCol w:w="346"/>
        <w:gridCol w:w="1651"/>
      </w:tblGrid>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w:t>
            </w:r>
          </w:p>
        </w:tc>
        <w:tc>
          <w:tcPr>
            <w:tcW w:w="346" w:type="dxa"/>
            <w:tcBorders/>
            <w:vAlign w:val="center"/>
          </w:tcPr>
          <w:p>
            <w:pPr>
              <w:pStyle w:val="TableContents"/>
              <w:bidi w:val="0"/>
              <w:spacing w:before="0" w:after="0"/>
              <w:ind w:left="0" w:right="0" w:hanging="0"/>
              <w:jc w:val="left"/>
              <w:rPr>
                <w:smallCaps/>
              </w:rPr>
            </w:pPr>
            <w:r>
              <w:rPr>
                <w:smallCaps/>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11-1890605</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2211 South 47th Street,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 85034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Avnet, Inc. 2025 Stock Compensation and Incentive Plan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(Full title of the plan)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Michael R. McCoy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Legal Officer and General Counsel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2211 South 47th Street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AZ 85034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(480) 643-2000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address and telephone number, including area code, of agent for service)</w:t>
      </w:r>
    </w:p>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283" w:type="dxa"/>
        <w:jc w:val="center"/>
        <w:tblInd w:w="0" w:type="dxa"/>
        <w:tblLayout w:type="fixed"/>
        <w:tblCellMar>
          <w:top w:w="0" w:type="dxa"/>
          <w:left w:w="0" w:type="dxa"/>
          <w:bottom w:w="0" w:type="dxa"/>
          <w:right w:w="0" w:type="dxa"/>
        </w:tblCellMar>
      </w:tblPr>
      <w:tblGrid>
        <w:gridCol w:w="2236"/>
        <w:gridCol w:w="346"/>
        <w:gridCol w:w="2701"/>
      </w:tblGrid>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rPr/>
            </w:pPr>
            <w:r>
              <w:rPr/>
              <w:t>  ​ ​ ​</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INFORMATION REQUIRED IN THE SECTION 10(A) PROSPECTUS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required in Part I is omitted from this Registration Statement in accordance with Rule 428 of the Securities Act of 1933, as amended (the “Securities Act”) and the Note to Part I of Form S-8. Instead, the information required in Part I is included in the prospectus for the Avnet, Inc. 2025 Stock Compensation and Incentive Plan, which will be provided to employees as specified by Rule 428(b)(1) of the Securities 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INFORMATION REQUIRED IN THE REGISTRATION 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3. Incorporation of Documents by Reference.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documents previously filed with the U.S. Securities and Exchange Commission (“Commission”) are hereby incorporated by reference into this Registration Statement:</w:t>
      </w:r>
    </w:p>
    <w:tbl>
      <w:tblPr>
        <w:tblW w:w="9010" w:type="dxa"/>
        <w:jc w:val="left"/>
        <w:tblInd w:w="0" w:type="dxa"/>
        <w:tblLayout w:type="fixed"/>
        <w:tblCellMar>
          <w:top w:w="0" w:type="dxa"/>
          <w:left w:w="0" w:type="dxa"/>
          <w:bottom w:w="0" w:type="dxa"/>
          <w:right w:w="0" w:type="dxa"/>
        </w:tblCellMar>
      </w:tblPr>
      <w:tblGrid>
        <w:gridCol w:w="170"/>
        <w:gridCol w:w="884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8840" w:type="dxa"/>
            <w:tcBorders/>
            <w:vAlign w:val="center"/>
          </w:tcPr>
          <w:p>
            <w:pPr>
              <w:pStyle w:val="TableContents"/>
              <w:bidi w:val="0"/>
              <w:spacing w:before="0" w:after="240"/>
              <w:jc w:val="left"/>
              <w:rPr/>
            </w:pPr>
            <w:r>
              <w:rPr>
                <w:rFonts w:ascii="Times New Roman;Times;serif" w:hAnsi="Times New Roman;Times;serif"/>
                <w:sz w:val="20"/>
              </w:rPr>
              <w:t xml:space="preserve">Annual Report on Form 10-K for the fiscal year ended June 27, 2026, filed with the SEC on </w:t>
            </w:r>
            <w:hyperlink r:id="rId2">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sz w:val="20"/>
              </w:rPr>
              <w:t>;</w:t>
            </w:r>
          </w:p>
        </w:tc>
      </w:tr>
    </w:tbl>
    <w:tbl>
      <w:tblPr>
        <w:tblW w:w="5710" w:type="dxa"/>
        <w:jc w:val="left"/>
        <w:tblInd w:w="0" w:type="dxa"/>
        <w:tblLayout w:type="fixed"/>
        <w:tblCellMar>
          <w:top w:w="0" w:type="dxa"/>
          <w:left w:w="0" w:type="dxa"/>
          <w:bottom w:w="0" w:type="dxa"/>
          <w:right w:w="0" w:type="dxa"/>
        </w:tblCellMar>
      </w:tblPr>
      <w:tblGrid>
        <w:gridCol w:w="170"/>
        <w:gridCol w:w="554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5540" w:type="dxa"/>
            <w:tcBorders/>
            <w:vAlign w:val="center"/>
          </w:tcPr>
          <w:p>
            <w:pPr>
              <w:pStyle w:val="TableContents"/>
              <w:bidi w:val="0"/>
              <w:spacing w:before="0" w:after="240"/>
              <w:jc w:val="left"/>
              <w:rPr/>
            </w:pPr>
            <w:r>
              <w:rPr>
                <w:rFonts w:ascii="Times New Roman;Times;serif" w:hAnsi="Times New Roman;Times;serif"/>
                <w:sz w:val="20"/>
              </w:rPr>
              <w:t xml:space="preserve">Current Report on Form 8-K filed with the SEC on </w:t>
            </w:r>
            <w:hyperlink r:id="rId3">
              <w:r>
                <w:rPr>
                  <w:rStyle w:val="InternetLink"/>
                  <w:rFonts w:ascii="Times New Roman;Times;serif" w:hAnsi="Times New Roman;Times;serif"/>
                  <w:b w:val="false"/>
                  <w:i w:val="false"/>
                  <w:caps w:val="false"/>
                  <w:smallCaps w:val="false"/>
                  <w:sz w:val="20"/>
                </w:rPr>
                <w:t>July 6, 2026</w:t>
              </w:r>
            </w:hyperlink>
            <w:r>
              <w:rPr>
                <w:rFonts w:ascii="Times New Roman;Times;serif" w:hAnsi="Times New Roman;Times;serif"/>
                <w:sz w:val="20"/>
              </w:rPr>
              <w:t>; and</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57" w:type="dxa"/>
            <w:tcBorders/>
            <w:vAlign w:val="center"/>
          </w:tcPr>
          <w:p>
            <w:pPr>
              <w:pStyle w:val="TableContents"/>
              <w:bidi w:val="0"/>
              <w:spacing w:before="0" w:after="240"/>
              <w:jc w:val="left"/>
              <w:rPr/>
            </w:pPr>
            <w:r>
              <w:rPr>
                <w:rFonts w:ascii="Times New Roman;Times;serif" w:hAnsi="Times New Roman;Times;serif"/>
                <w:sz w:val="20"/>
              </w:rPr>
              <w:t xml:space="preserve">The description of our common stock set forth in </w:t>
            </w:r>
            <w:hyperlink r:id="rId4">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sz w:val="20"/>
              </w:rPr>
              <w:t xml:space="preserve"> to our Annual Report on Form 10-K for the fiscal year ended June 29, 2019, and including any amendment or report filed for the purpose of updating such description.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documents that we file with the Commission pursuant to Sections 13(a), 13(c), 14, or 15(d) of the Exchange Act subsequent to the date of this Registration Statement (prior to filing a post-effective amendment indicating that we have sold or issued all of the securities offered under this Registration Statement or that deregisters all securities then remaining unsold or unissued) shall be deemed to be incorporated by reference into this Registration Statement from the date that we file such document. Notwithstanding the foregoing, we are not incorporating by reference any document, portion of a document, exhibit or other information that is deemed to have been furnished to, rather than filed with, the Commission.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statement contained in this Registration Statement or in a document incorporated or deemed incorporated by reference into this Registration Statement shall be deemed to be modified or superseded to the extent that a subsequently filed document that is deemed to be incorporated by reference herein modifies or supersedes such 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4. Description of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5. Interests of Named Experts and Counsel.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matters with respect to the shares of Common Stock being registered hereunder are being passed upon by Michael R. McCoy, Esq., whose opinion is filed as Exhibit 5.1 to this Registration Statement. Mr. McCoy is our Senior Vice President, Chief Legal Officer and General Counsel and the beneficial owner of less than 1% of our outstanding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6. Indemnification of Directors and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Section 721 of the New York Business Corporation Law (the “NYBCL”) provides that indemnification and advancement of expenses granted pursuant to the NYBCL are not exclusive of any other rights to indemnification and advancement of expenses that a corporation may grant to a director or officer through its certificate of incorporation or by-laws or, when authorized by such certificate of incorporation or by-laws, by a duly authorized resolution of its shareowners or directors or by agreement,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Section 722(a) of the NYBCL provides that a corporation may indemnify a director or officer made, or threatened to be made, a party to any action or proceeding (other than one by or in the right of the corporation to procure a judgment in its favor), whether civil or criminal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for any other enterprise, not opposed to, the best interests of the corporation and, in criminal actions or proceedings, in addition, had no reasonable cause to believe that his conduct was unlawful.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Section 722(c) of the NYBCL provides that a corporation may indemnify a director or officer, made or threatened to be made a party in a derivative action, against amounts paid in settlement and reasonable expenses, including attorneys’ fees, actually and necessarily incurred by him in connection with the defense or settlement of such action, or in connection with an appeal therein, if such director or officer acted, in good faith, for a purpose which he reasonably believed to be in, or, in the case of service for any other enterprise, not opposed to, the best interests of the corporation, except that no indemnification will be available in respect of (1) a threatened or pending action which is settled or otherwise disposed of, or (2) any claim, issue or matter as to which such director or officer shall have been adjudged liable to the corporation, unless and only to the extent that the court in which the action was brought, or, if no action was brought, any court of competent jurisdiction, determines upon application that, in view of all the circumstances of the case, the director or officer is fairly and reasonably entitled to indemnity for such portion of the settlement amount and expenses as the court deems proper.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Section 723 of the NYBCL specifies the manner in which payment of indemnification under Section 722 of the NYBCL or indemnification permitted under Section 721 of the NYBCL may be authorized by the corporation. It provides that indemnification by a corporation is mandatory in any case in which the director or officer has been successful, whether on the merits or otherwise, in defending an action. In the event that the director or officer has not been successful or the action is settled, indemnification must be authorized by the appropriate corporate action as set forth in Section 723. Section 724 of the NYBCL provides that, upon application by a director or officer, indemnification may be awarded by a court to the extent authorized under Section 722 and Section 723 of the NYBCL.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certain limitations, Section 726 of the NYBCL authorizes a corporation to purchase and maintain insurance to indemnify (1) the corporation for any obligation that it incurs as a result of the indemnification of directors and officers under the provisions of Article 7 of the NYBCL, (2) directors and officers in instances in which they may be indemnified by a corporation under the provisions of Article 7 of the NYBCL, and (3) directors and officers in instances in which they may not otherwise be indemnified by a corporation under Article 7 of the NYBCL, provided the contract of insurance covering such directors and officers provides, in a manner acceptable to the superintendent of financial services, for a retention amount and for co-insurance.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Article VIII of our Restated Certificate of Incorporation provides as follows:</w:t>
      </w:r>
    </w:p>
    <w:p>
      <w:pPr>
        <w:pStyle w:val="TextBody"/>
        <w:bidi w:val="0"/>
        <w:spacing w:before="0" w:after="240"/>
        <w:ind w:left="720" w:right="0" w:firstLine="360"/>
        <w:jc w:val="left"/>
        <w:rPr>
          <w:rFonts w:ascii="Times New Roman;Times;serif" w:hAnsi="Times New Roman;Times;serif"/>
          <w:sz w:val="20"/>
        </w:rPr>
      </w:pPr>
      <w:r>
        <w:rPr>
          <w:rFonts w:ascii="Times New Roman;Times;serif" w:hAnsi="Times New Roman;Times;serif"/>
          <w:sz w:val="20"/>
        </w:rPr>
        <w:t>No director of the Corporation shall be personally liable to the Corporation or its shareholders for damages for any breach of duty as a director, provided that nothing contained in this Article VIII shall eliminate or limit the liability of any director if a judgment or other final adjudication adverse to him or her establishes that his or her acts or omissions were in bad faith or involved intentional misconduct or a knowing violation of law or that he or she personally gained in fact a financial profit or other advantage to which he or she was not legally entitled or that his or her acts violated Section 719 of the NYBCL. No amendment, modification or repeal of this Article VIII shall adversely affect any right or protection of a director that exists at the time of such amendment, modification or repeal.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Section 6.6 of our By-laws provides as follows:</w:t>
      </w:r>
    </w:p>
    <w:p>
      <w:pPr>
        <w:pStyle w:val="TextBody"/>
        <w:bidi w:val="0"/>
        <w:spacing w:before="0" w:after="0"/>
        <w:ind w:left="720" w:right="0" w:firstLine="360"/>
        <w:jc w:val="left"/>
        <w:rPr>
          <w:rFonts w:ascii="Times New Roman;Times;serif" w:hAnsi="Times New Roman;Times;serif"/>
          <w:sz w:val="20"/>
        </w:rPr>
      </w:pPr>
      <w:r>
        <w:rPr>
          <w:rFonts w:ascii="Times New Roman;Times;serif" w:hAnsi="Times New Roman;Times;serif"/>
          <w:sz w:val="20"/>
        </w:rPr>
        <w:t xml:space="preserve">The Corporation shall indemnify to the full extent permitted by law any person made or threatened to be made a party to any action or proceeding, whether civil, criminal, administrative or investigative, including an action by or in the right of any other enterprise which any director or officer of the Corporation served in any capacity, by reason of the fact that such person or such person’s testator or intestate is or was a director or officer of the Corporation or serves or served such other enterprise in any capacity at the request of the Corporation. Expenses incurred by any such person in defending any such action or proceeding shall be paid or reimbursed by the Corporation in advance of the final disposition of such action or proceeding promptly upon receipt by it of an undertaking by or on behalf of such person to repay such expenses if it shall ultimately be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determined that such person is not entitled to be indemnified by the Corporation. The rights provided to any person by this by-law shall be enforceable against the Corporation by such person who shall be presumed to have relied upon it in serving or continuing to serve as a director or officer as provided above. No amendment of this by-law shall impair the rights of any person arising at any time with respect to events occurring prior to such amendment. For purposes of this by-law, the term “corporation” shall include any constituent or subsidiary corporation (including any constituent of a constituent or subsidiary of a subsidiary) absorbed by the Corporation in a consolidation or merger; the term “other enterprise” shall include any corporation, partnership, joint venture, trust, employee benefit plan or other enterprise; service “at the request of the Corporation” shall include service as a director, officer or employee of the Corporation which imposes duties on, or involves services by, such director, officer or employee with respect to an employee benefit plan, its participants or beneficiaries; any excise taxes assessed on a person with respect to an employee benefit plan shall be deemed to be indemnifiable expenses; and action taken or omitted by a person with respect to an employee benefit plan which such person reasonably believes to be in the interest of the participants and beneficiaries of such plan shall be deemed to be action not opposed to the best interests of the Corporation.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permitted under the NYBCL and our governing documents, we have entered into indemnification agreements with each of our directors and officers. In addition to providing for indemnification to directors and officers in specified circumstances, these agreements require us to advance certain expenses to a director or officer in an action that may give rise to an indemnification right, provided that, among other things, we receive an undertaking from the director or officer to repay such expenses if the director or officer is ultimately found not to be entitled to indemnification, as required by Section 726 of the NYBCL.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7. Exemption from Registration Claimed.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8. Exhibits.</w:t>
      </w:r>
    </w:p>
    <w:tbl>
      <w:tblPr>
        <w:tblW w:w="10205" w:type="dxa"/>
        <w:jc w:val="center"/>
        <w:tblInd w:w="0" w:type="dxa"/>
        <w:tblLayout w:type="fixed"/>
        <w:tblCellMar>
          <w:top w:w="0" w:type="dxa"/>
          <w:left w:w="0" w:type="dxa"/>
          <w:bottom w:w="28" w:type="dxa"/>
          <w:right w:w="0" w:type="dxa"/>
        </w:tblCellMar>
      </w:tblPr>
      <w:tblGrid>
        <w:gridCol w:w="912"/>
        <w:gridCol w:w="346"/>
        <w:gridCol w:w="8947"/>
      </w:tblGrid>
      <w:tr>
        <w:trPr/>
        <w:tc>
          <w:tcPr>
            <w:tcW w:w="91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94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912"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Restated Certificate of Incorporation of the Company (incorporated herein by reference to Exhibit 3(i) to the Company’s Current Report on Form 8-K filed on February 12, 2001).</w:t>
              </w:r>
            </w:hyperlink>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 of the Company, as amended May 22, 2023 (incorporated herein by reference to Exhibit 3.1 to the Company’s Current Report on Form 8-K filed on May 24, 2023).</w:t>
              </w:r>
            </w:hyperlink>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947" w:type="dxa"/>
            <w:tcBorders/>
            <w:tcMar>
              <w:bottom w:w="0" w:type="dxa"/>
            </w:tcMar>
            <w:vAlign w:val="center"/>
          </w:tcPr>
          <w:p>
            <w:pPr>
              <w:pStyle w:val="TableContents"/>
              <w:bidi w:val="0"/>
              <w:spacing w:before="0" w:after="0"/>
              <w:ind w:left="0" w:right="0" w:hanging="0"/>
              <w:jc w:val="left"/>
              <w:rPr/>
            </w:pPr>
            <w:hyperlink w:anchor="avt-20260814xex5d1.htm">
              <w:r>
                <w:rPr>
                  <w:rStyle w:val="InternetLink"/>
                  <w:rFonts w:ascii="Times New Roman;Times;serif" w:hAnsi="Times New Roman;Times;serif"/>
                  <w:b w:val="false"/>
                  <w:i w:val="false"/>
                  <w:caps w:val="false"/>
                  <w:smallCaps w:val="false"/>
                  <w:sz w:val="20"/>
                </w:rPr>
                <w:t>Opinion of Michael R. McCoy, Esq., General Counsel of Avnet, Inc.</w:t>
              </w:r>
            </w:hyperlink>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hyperlink w:anchor="avt-20260814xex5d1.htm">
              <w:r>
                <w:rPr>
                  <w:rStyle w:val="InternetLink"/>
                  <w:rFonts w:ascii="Times New Roman;Times;serif" w:hAnsi="Times New Roman;Times;serif"/>
                  <w:b w:val="false"/>
                  <w:i w:val="false"/>
                  <w:caps w:val="false"/>
                  <w:smallCaps w:val="false"/>
                  <w:sz w:val="20"/>
                </w:rPr>
                <w:t>Consent of Michael R. McCoy, Esq. (contained in Exhibit 5.1).</w:t>
              </w:r>
            </w:hyperlink>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947" w:type="dxa"/>
            <w:tcBorders/>
            <w:tcMar>
              <w:bottom w:w="0" w:type="dxa"/>
            </w:tcMar>
            <w:vAlign w:val="center"/>
          </w:tcPr>
          <w:p>
            <w:pPr>
              <w:pStyle w:val="TableContents"/>
              <w:bidi w:val="0"/>
              <w:spacing w:before="0" w:after="0"/>
              <w:ind w:left="0" w:right="0" w:hanging="0"/>
              <w:jc w:val="left"/>
              <w:rPr/>
            </w:pPr>
            <w:hyperlink w:anchor="avt-20260814xex23d2.htm">
              <w:r>
                <w:rPr>
                  <w:rStyle w:val="InternetLink"/>
                  <w:rFonts w:ascii="Times New Roman;Times;serif" w:hAnsi="Times New Roman;Times;serif"/>
                  <w:b w:val="false"/>
                  <w:i w:val="false"/>
                  <w:caps w:val="false"/>
                  <w:smallCaps w:val="false"/>
                  <w:sz w:val="20"/>
                </w:rPr>
                <w:t>Consent of PricewaterhouseCoopers LLP.</w:t>
              </w:r>
            </w:hyperlink>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947" w:type="dxa"/>
            <w:tcBorders/>
            <w:tcMar>
              <w:bottom w:w="0" w:type="dxa"/>
            </w:tcMar>
            <w:vAlign w:val="center"/>
          </w:tcPr>
          <w:p>
            <w:pPr>
              <w:pStyle w:val="TableContents"/>
              <w:bidi w:val="0"/>
              <w:spacing w:before="0" w:after="0"/>
              <w:ind w:left="0" w:right="0" w:hanging="0"/>
              <w:jc w:val="left"/>
              <w:rPr/>
            </w:pPr>
            <w:hyperlink w:anchor="avt-20260814xex23d3.htm">
              <w:r>
                <w:rPr>
                  <w:rStyle w:val="InternetLink"/>
                  <w:rFonts w:ascii="Times New Roman;Times;serif" w:hAnsi="Times New Roman;Times;serif"/>
                  <w:b w:val="false"/>
                  <w:i w:val="false"/>
                  <w:caps w:val="false"/>
                  <w:smallCaps w:val="false"/>
                  <w:sz w:val="20"/>
                </w:rPr>
                <w:t>Consent of KPMG LLP.</w:t>
              </w:r>
            </w:hyperlink>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hyperlink w:anchor="POWEROFATTORNEY_675014">
              <w:r>
                <w:rPr>
                  <w:rStyle w:val="InternetLink"/>
                  <w:rFonts w:ascii="Times New Roman;Times;serif" w:hAnsi="Times New Roman;Times;serif"/>
                  <w:b w:val="false"/>
                  <w:i w:val="false"/>
                  <w:caps w:val="false"/>
                  <w:smallCaps w:val="false"/>
                  <w:sz w:val="20"/>
                </w:rPr>
                <w:t>Powers of Attorney (included as part of the signature page of this Registration Statement).</w:t>
              </w:r>
            </w:hyperlink>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"https://www.sec.gov/Archives/edgar/data/8858/000110465925097498/tm2516396-1_def14a.htm" \l "tAPB"</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Avnet, Inc. 2025 Stock Compensation and Incentive Plan, incorporated herein by reference to Appendix B to the Company’s Definitive Proxy Statement on Schedule 14A filed on October 7, 2025.</w:t>
            </w:r>
            <w:r>
              <w:rPr>
                <w:rStyle w:val="InternetLink"/>
                <w:smallCaps w:val="false"/>
                <w:caps w:val="false"/>
                <w:sz w:val="20"/>
                <w:i w:val="false"/>
                <w:b w:val="false"/>
                <w:rFonts w:ascii="Times New Roman;Times;serif" w:hAnsi="Times New Roman;Times;serif"/>
              </w:rPr>
              <w:fldChar w:fldCharType="end"/>
            </w:r>
          </w:p>
        </w:tc>
      </w:tr>
      <w:tr>
        <w:trPr/>
        <w:tc>
          <w:tcPr>
            <w:tcW w:w="912" w:type="dxa"/>
            <w:tcBorders/>
            <w:tcMar>
              <w:bottom w:w="0" w:type="dxa"/>
            </w:tcMar>
            <w:vAlign w:val="center"/>
          </w:tcPr>
          <w:p>
            <w:pPr>
              <w:pStyle w:val="TableContents"/>
              <w:bidi w:val="0"/>
              <w:spacing w:before="0" w:after="0"/>
              <w:ind w:left="0" w:right="0" w:hanging="0"/>
              <w:jc w:val="right"/>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947" w:type="dxa"/>
            <w:tcBorders/>
            <w:tcMar>
              <w:bottom w:w="0" w:type="dxa"/>
            </w:tcMar>
            <w:vAlign w:val="center"/>
          </w:tcPr>
          <w:p>
            <w:pPr>
              <w:pStyle w:val="TableContents"/>
              <w:bidi w:val="0"/>
              <w:spacing w:before="0" w:after="0"/>
              <w:ind w:left="0" w:right="0" w:hanging="0"/>
              <w:jc w:val="left"/>
              <w:rPr/>
            </w:pPr>
            <w:r>
              <w:rPr/>
              <w:t>​</w:t>
            </w:r>
          </w:p>
        </w:tc>
      </w:tr>
      <w:tr>
        <w:trPr/>
        <w:tc>
          <w:tcPr>
            <w:tcW w:w="91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947" w:type="dxa"/>
            <w:tcBorders/>
            <w:tcMar>
              <w:bottom w:w="0" w:type="dxa"/>
            </w:tcMar>
            <w:vAlign w:val="center"/>
          </w:tcPr>
          <w:p>
            <w:pPr>
              <w:pStyle w:val="TableContents"/>
              <w:bidi w:val="0"/>
              <w:spacing w:before="0" w:after="0"/>
              <w:ind w:left="0" w:right="0" w:hanging="0"/>
              <w:jc w:val="left"/>
              <w:rPr/>
            </w:pPr>
            <w:hyperlink w:anchor="avt-20260814xexfees.htm">
              <w:r>
                <w:rPr>
                  <w:rStyle w:val="InternetLink"/>
                  <w:rFonts w:ascii="Times New Roman;Times;serif" w:hAnsi="Times New Roman;Times;serif"/>
                  <w:b w:val="false"/>
                  <w:i w:val="false"/>
                  <w:caps w:val="false"/>
                  <w:smallCaps w:val="false"/>
                  <w:sz w:val="20"/>
                </w:rPr>
                <w:t>Filing Fee Table</w:t>
              </w:r>
            </w:hyperlink>
          </w:p>
        </w:tc>
      </w:tr>
    </w:tbl>
    <w:p>
      <w:pPr>
        <w:pStyle w:val="HorizontalLine"/>
        <w:pBdr>
          <w:bottom w:val="single" w:sz="6" w:space="0" w:color="000000"/>
        </w:pBdr>
        <w:bidi w:val="0"/>
        <w:spacing w:before="0" w:after="0"/>
        <w:ind w:left="0" w:right="7654" w:hanging="0"/>
        <w:jc w:val="left"/>
        <w:rPr/>
      </w:pPr>
      <w:r>
        <w:rPr/>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 Undertakings</w:t>
      </w:r>
    </w:p>
    <w:tbl>
      <w:tblPr>
        <w:tblW w:w="4015" w:type="dxa"/>
        <w:jc w:val="left"/>
        <w:tblInd w:w="0" w:type="dxa"/>
        <w:tblLayout w:type="fixed"/>
        <w:tblCellMar>
          <w:top w:w="0" w:type="dxa"/>
          <w:left w:w="0" w:type="dxa"/>
          <w:bottom w:w="0" w:type="dxa"/>
          <w:right w:w="0" w:type="dxa"/>
        </w:tblCellMar>
      </w:tblPr>
      <w:tblGrid>
        <w:gridCol w:w="230"/>
        <w:gridCol w:w="378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(1)To file, during any period in which offers or sales are being made, a post-effective amendment to this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(i)To include any prospectus required by Section 10(a)(3) of the Securities Act of 1933, as amended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 “SEC”)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provided, however</w:t>
      </w:r>
      <w:r>
        <w:rPr>
          <w:rFonts w:ascii="Times New Roman;Times;serif" w:hAnsi="Times New Roman;Times;serif"/>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(2)That,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xml:space="preserve"> offering thereof.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(3)To remove from registration by means of a post-effective amendment any of the securities being registered which remain unsold at the termination of the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(c)Insofar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Phoenix, State of Arizona, on August 14, 2026.</w:t>
      </w:r>
    </w:p>
    <w:p>
      <w:pPr>
        <w:pStyle w:val="TextBody"/>
        <w:bidi w:val="0"/>
        <w:spacing w:before="0" w:after="0"/>
        <w:ind w:left="0" w:right="0" w:hanging="0"/>
        <w:jc w:val="left"/>
        <w:rPr/>
      </w:pPr>
      <w:r>
        <w:rPr/>
        <w:t>​</w:t>
      </w:r>
    </w:p>
    <w:tbl>
      <w:tblPr>
        <w:tblW w:w="2631" w:type="dxa"/>
        <w:jc w:val="center"/>
        <w:tblInd w:w="0" w:type="dxa"/>
        <w:tblLayout w:type="fixed"/>
        <w:tblCellMar>
          <w:top w:w="0" w:type="dxa"/>
          <w:left w:w="0" w:type="dxa"/>
          <w:bottom w:w="0" w:type="dxa"/>
          <w:right w:w="0" w:type="dxa"/>
        </w:tblCellMar>
      </w:tblPr>
      <w:tblGrid>
        <w:gridCol w:w="124"/>
        <w:gridCol w:w="406"/>
        <w:gridCol w:w="2101"/>
      </w:tblGrid>
      <w:tr>
        <w:trPr/>
        <w:tc>
          <w:tcPr>
            <w:tcW w:w="124" w:type="dxa"/>
            <w:tcBorders/>
            <w:vAlign w:val="center"/>
          </w:tcPr>
          <w:p>
            <w:pPr>
              <w:pStyle w:val="TableContents"/>
              <w:bidi w:val="0"/>
              <w:spacing w:before="0" w:after="0"/>
              <w:ind w:left="0" w:right="0" w:hanging="0"/>
              <w:jc w:val="left"/>
              <w:rPr/>
            </w:pPr>
            <w:r>
              <w:rPr/>
              <w:t>​</w:t>
            </w:r>
          </w:p>
        </w:tc>
        <w:tc>
          <w:tcPr>
            <w:tcW w:w="25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AVNET,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0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POWER OF ATTORNEY</w:t>
      </w:r>
      <w:bookmarkStart w:id="2" w:name="POWEROFATTORNEY_675014"/>
      <w:bookmarkEnd w:id="2"/>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KNOW ALL MEN BY THESE PRESENTS that the individuals whose signatures appear below hereby constitute and appoint each of Philip R. Gallagher, Kenneth A. Jacobson and Michael R. McCoy, and each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Act of 1933, as amended, this Registration Statement has been signed below by the following persons on behalf of the registrant and in the capacity indicated on August 14, 2026:</w:t>
      </w:r>
    </w:p>
    <w:p>
      <w:pPr>
        <w:pStyle w:val="TextBody"/>
        <w:bidi w:val="0"/>
        <w:spacing w:before="0" w:after="240"/>
        <w:ind w:left="0" w:right="0" w:firstLine="360"/>
        <w:jc w:val="left"/>
        <w:rPr/>
      </w:pPr>
      <w:r>
        <w:rPr/>
        <w:t>​</w:t>
      </w:r>
    </w:p>
    <w:tbl>
      <w:tblPr>
        <w:tblW w:w="5756" w:type="dxa"/>
        <w:jc w:val="center"/>
        <w:tblInd w:w="0" w:type="dxa"/>
        <w:tblLayout w:type="fixed"/>
        <w:tblCellMar>
          <w:top w:w="0" w:type="dxa"/>
          <w:left w:w="0" w:type="dxa"/>
          <w:bottom w:w="28" w:type="dxa"/>
          <w:right w:w="0" w:type="dxa"/>
        </w:tblCellMar>
      </w:tblPr>
      <w:tblGrid>
        <w:gridCol w:w="2071"/>
        <w:gridCol w:w="346"/>
        <w:gridCol w:w="3076"/>
        <w:gridCol w:w="109"/>
        <w:gridCol w:w="154"/>
      </w:tblGrid>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30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Philip R. Gallagher</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and 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Philip R. Gallagher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Rodney C. Adkins</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Chairman of the Board and 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Rodney C. Adkins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Brenda L. Freeman</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Brenda L. Freeman</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Helmut Gassel</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Helmut Gassel</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Virginia L. Henkels</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Virginia L. Henkels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 Ann Jenkins</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 Ann Jenkins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Oleg Khaykin</w:t>
            </w:r>
          </w:p>
        </w:tc>
        <w:tc>
          <w:tcPr>
            <w:tcW w:w="346" w:type="dxa"/>
            <w:tcBorders>
              <w:bottom w:val="single" w:sz="2" w:space="0" w:color="000000"/>
            </w:tcBorders>
            <w:vAlign w:val="center"/>
          </w:tcPr>
          <w:p>
            <w:pPr>
              <w:pStyle w:val="TableContents"/>
              <w:bidi w:val="0"/>
              <w:spacing w:before="0" w:after="0"/>
              <w:ind w:left="0" w:right="0" w:hanging="0"/>
              <w:jc w:val="left"/>
              <w:rPr/>
            </w:pPr>
            <w:r>
              <w:rPr/>
              <w:t> </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Oleg Khaykin</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Ernest E. Maddock</w:t>
            </w:r>
          </w:p>
        </w:tc>
        <w:tc>
          <w:tcPr>
            <w:tcW w:w="346" w:type="dxa"/>
            <w:tcBorders>
              <w:bottom w:val="single" w:sz="2" w:space="0" w:color="000000"/>
            </w:tcBorders>
            <w:vAlign w:val="center"/>
          </w:tcPr>
          <w:p>
            <w:pPr>
              <w:pStyle w:val="TableContents"/>
              <w:bidi w:val="0"/>
              <w:spacing w:before="0" w:after="0"/>
              <w:ind w:left="0" w:right="0" w:hanging="0"/>
              <w:jc w:val="left"/>
              <w:rPr/>
            </w:pPr>
            <w:r>
              <w:rPr/>
              <w:t> </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Ernest E. Maddock</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Avid Modjtabai</w:t>
            </w:r>
          </w:p>
        </w:tc>
        <w:tc>
          <w:tcPr>
            <w:tcW w:w="346" w:type="dxa"/>
            <w:vMerge w:val="restart"/>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Avid Modjtabai</w:t>
            </w:r>
          </w:p>
        </w:tc>
        <w:tc>
          <w:tcPr>
            <w:tcW w:w="346" w:type="dxa"/>
            <w:vMerge w:val="continue"/>
            <w:tcBorders/>
            <w:tcMar>
              <w:bottom w:w="0" w:type="dxa"/>
            </w:tcMar>
            <w:vAlign w:val="center"/>
          </w:tcPr>
          <w:p>
            <w:pPr>
              <w:pStyle w:val="Normal"/>
              <w:bidi w:val="0"/>
              <w:jc w:val="left"/>
              <w:rPr/>
            </w:pPr>
            <w:r>
              <w:rPr/>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tcMar>
              <w:bottom w:w="0" w:type="dxa"/>
            </w:tcMar>
            <w:vAlign w:val="center"/>
          </w:tcPr>
          <w:p>
            <w:pPr>
              <w:pStyle w:val="TableContents"/>
              <w:bidi w:val="0"/>
              <w:spacing w:before="0" w:after="0"/>
              <w:ind w:left="0" w:right="0" w:hanging="0"/>
              <w:jc w:val="left"/>
              <w:rPr/>
            </w:pPr>
            <w:r>
              <w:rPr/>
              <w:t> </w:t>
            </w:r>
          </w:p>
        </w:tc>
        <w:tc>
          <w:tcPr>
            <w:tcW w:w="307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Adalio T. Sanchez</w:t>
            </w:r>
          </w:p>
        </w:tc>
        <w:tc>
          <w:tcPr>
            <w:tcW w:w="346" w:type="dxa"/>
            <w:vMerge w:val="restart"/>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076"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Adalio T. Sanchez</w:t>
            </w:r>
          </w:p>
        </w:tc>
        <w:tc>
          <w:tcPr>
            <w:tcW w:w="346" w:type="dxa"/>
            <w:vMerge w:val="continue"/>
            <w:tcBorders/>
            <w:tcMar>
              <w:bottom w:w="0" w:type="dxa"/>
            </w:tcMar>
            <w:vAlign w:val="center"/>
          </w:tcPr>
          <w:p>
            <w:pPr>
              <w:pStyle w:val="Normal"/>
              <w:bidi w:val="0"/>
              <w:jc w:val="left"/>
              <w:rPr/>
            </w:pPr>
            <w:r>
              <w:rPr/>
            </w:r>
          </w:p>
        </w:tc>
        <w:tc>
          <w:tcPr>
            <w:tcW w:w="3076"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Kenneth A. Jacobson</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Kenneth A. Jacobson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0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 w:name="avt-20260814xex5d1.htm"/>
      <w:bookmarkStart w:id="4" w:name="ksavt20260814xex5d1"/>
      <w:bookmarkEnd w:id="3"/>
      <w:bookmarkEnd w:id="4"/>
      <w:r>
        <w:rPr>
          <w:rFonts w:ascii="Times New Roman;Times;serif" w:hAnsi="Times New Roman;Times;serif"/>
          <w:b/>
          <w:sz w:val="20"/>
        </w:rPr>
        <w:t>Exhibit 5.1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pPr>
      <w:r>
        <w:rPr/>
        <w:drawing>
          <wp:inline distT="0" distB="0" distL="0" distR="0">
            <wp:extent cx="2261235" cy="6216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261235" cy="62166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Michael R. McCoy</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Senior Vice President, General Counsel and Chief Legal Officer</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August 14,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2211 South 47th Street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 85034</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 Registration Statement on Form S-8</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Avnet, Inc., a New York corporation (“Corporation”), is filing with the Securities and Exchange Commission (the “Commission”) a Registration Statement on Form S-8 (the “Registration Statement”) under the Securities Act of 1933, as amended (the “Act”). The Registration Statement relates to the registration an aggregate of 3,000,000 shares of the Corporation’s common stock, $1.00 par value per share (the “Shares”), which Shares may be offered and sold under the Avnet, Inc. 2025 Stock Compensation and Incentive Plan (the “Plan”).</w:t>
      </w:r>
    </w:p>
    <w:p>
      <w:pPr>
        <w:pStyle w:val="TextBody"/>
        <w:bidi w:val="0"/>
        <w:spacing w:before="0" w:after="0"/>
        <w:ind w:left="0" w:right="0" w:firstLine="49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 as the General Counsel and Chief Legal Officer of the Corporation, am familiar with the Corporation’s Restated Certificate of Incorporation and By-laws, as amended. I have examined the Registration Statement, the Plan and the prospectus that will be distributed to participants in the Plan. I have also examined and relied upon such corporate records of the Corporation and other documents of the Corporation, and have made such other factual and legal investigations, as I deemed necessary or appropriate in order to render this opinion. In my examination, I have assumed the genuineness of all signatures, including endorsements; the legal capacity and competency of all natural persons; the authenticity of all documents submitted to me as originals; the conformity to original documents of all documents submitted to me as facsimile, electronic, certified or photostatic copies; and the authenticity of the originals of such copies. As to any facts material to this opinion that I did not independently establish or verify, I have relied upon statements and representations of other officers and representatives of the Corporation.</w:t>
      </w:r>
    </w:p>
    <w:p>
      <w:pPr>
        <w:pStyle w:val="TextBody"/>
        <w:bidi w:val="0"/>
        <w:spacing w:before="0" w:after="0"/>
        <w:ind w:left="0" w:right="0" w:firstLine="49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Based upon my examination mentioned above, and subject to the assumptions, comments, qualifications, limitations and exceptions set forth herein, I am of the opinion that all necessary corporate proceedings by the Corporation have been duly taken to authorize the issuance of the Shares pursuant to the Plan and that the Shares being registered pursuant to the Registration Statement, when issued and paid for in accordance with the terms of the Plan, will be duly authorized, validly issued, fully paid and nonassessable.</w:t>
      </w:r>
    </w:p>
    <w:p>
      <w:pPr>
        <w:pStyle w:val="TextBody"/>
        <w:bidi w:val="0"/>
        <w:spacing w:before="0" w:after="0"/>
        <w:ind w:left="0" w:right="0" w:firstLine="49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letter expresses my opinion as to the provisions of the New York Business Corporation Law, but does not extend to the securities or “Blue Sky” laws of New York or any other jurisdiction or to federal securities laws or to other laws.</w:t>
      </w:r>
    </w:p>
    <w:p>
      <w:pPr>
        <w:pStyle w:val="TextBody"/>
        <w:bidi w:val="0"/>
        <w:spacing w:before="0" w:after="0"/>
        <w:ind w:left="0" w:right="0" w:firstLine="49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 consent to the filing of this opinion as Exhibit 5.1 to the Registration Statement and to the reference to me under Part II, Item 5 “Interests of Named Experts and Counsel” in the Registration Statement. I do not thereby admit that I am in the category of persons whose consent is required under Section 7 of the Act.</w:t>
      </w:r>
    </w:p>
    <w:p>
      <w:pPr>
        <w:pStyle w:val="TextBody"/>
        <w:bidi w:val="0"/>
        <w:spacing w:before="0" w:after="0"/>
        <w:ind w:left="0" w:right="0" w:hanging="0"/>
        <w:jc w:val="left"/>
        <w:rPr/>
      </w:pPr>
      <w:r>
        <w:rPr/>
        <w:t>​</w:t>
      </w:r>
    </w:p>
    <w:tbl>
      <w:tblPr>
        <w:tblW w:w="5061" w:type="dxa"/>
        <w:jc w:val="center"/>
        <w:tblInd w:w="0" w:type="dxa"/>
        <w:tblLayout w:type="fixed"/>
        <w:tblCellMar>
          <w:top w:w="0" w:type="dxa"/>
          <w:left w:w="0" w:type="dxa"/>
          <w:bottom w:w="0" w:type="dxa"/>
          <w:right w:w="0" w:type="dxa"/>
        </w:tblCellMar>
      </w:tblPr>
      <w:tblGrid>
        <w:gridCol w:w="124"/>
        <w:gridCol w:w="346"/>
        <w:gridCol w:w="4591"/>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McCoy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McCoy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and Chief Legal Officer of Avnet, Inc.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 w:name="avt-20260814xex23d2.htm"/>
      <w:bookmarkStart w:id="6" w:name="ksavt20260814xex23d2"/>
      <w:bookmarkEnd w:id="5"/>
      <w:bookmarkEnd w:id="6"/>
      <w:r>
        <w:rPr>
          <w:rFonts w:ascii="Times New Roman;Times;serif" w:hAnsi="Times New Roman;Times;serif"/>
          <w:b/>
          <w:sz w:val="20"/>
        </w:rPr>
        <w:t>Exhibit 23.2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hereby consent to the incorporation by reference in this Registration Statement on Form  S-8 of Avnet, Inc. of our report dated August 14, 2026 relating to the financial statements, financial statement schedule and the effectiveness of internal control over financial reporting, which appears in Avnet, Inc.'s Annual Report on Form 10-K for the year ended June 27, 2026.</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 PricewaterhouseCoopers LLP</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Phoenix, Arizona</w:t>
        <w:br/>
        <w:t>August 14,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 w:name="avt-20260814xex23d3.htm"/>
      <w:bookmarkStart w:id="8" w:name="ksavt20260814xex23d3"/>
      <w:bookmarkEnd w:id="7"/>
      <w:bookmarkEnd w:id="8"/>
      <w:r>
        <w:rPr>
          <w:rFonts w:ascii="Times New Roman;Times;serif" w:hAnsi="Times New Roman;Times;serif"/>
          <w:b/>
          <w:sz w:val="20"/>
        </w:rPr>
        <w:t>Exhibit 23.3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use of our report dated August 15, 2025, with respect to the consolidated financial statements of Avnet, Inc., incorporated herein by reference.</w:t>
      </w:r>
    </w:p>
    <w:tbl>
      <w:tblPr>
        <w:tblW w:w="2867" w:type="dxa"/>
        <w:jc w:val="center"/>
        <w:tblInd w:w="0" w:type="dxa"/>
        <w:tblLayout w:type="fixed"/>
        <w:tblCellMar>
          <w:top w:w="0" w:type="dxa"/>
          <w:left w:w="0" w:type="dxa"/>
          <w:bottom w:w="0" w:type="dxa"/>
          <w:right w:w="0" w:type="dxa"/>
        </w:tblCellMar>
      </w:tblPr>
      <w:tblGrid>
        <w:gridCol w:w="1531"/>
        <w:gridCol w:w="133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72185" cy="175260"/>
                      <wp:effectExtent l="0" t="0" r="0" b="0"/>
                      <wp:wrapNone/>
                      <wp:docPr id="2" name="Frame1"/>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48360" cy="175260"/>
                      <wp:effectExtent l="0" t="0" r="0" b="0"/>
                      <wp:wrapNone/>
                      <wp:docPr id="3" name="Frame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KPMG LLP</w:t>
            </w:r>
          </w:p>
        </w:tc>
      </w:tr>
      <w:tr>
        <w:trPr/>
        <w:tc>
          <w:tcPr>
            <w:tcW w:w="1531"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tc>
        <w:tc>
          <w:tcPr>
            <w:tcW w:w="133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13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9" w:name="avt-20260814xexfees.htm"/>
      <w:bookmarkStart w:id="10" w:name="ksavt20260814xexfees"/>
      <w:bookmarkStart w:id="11" w:name="avt-20260814xexfees.htm"/>
      <w:bookmarkStart w:id="12" w:name="ksavt20260814xexfees"/>
      <w:bookmarkEnd w:id="11"/>
      <w:bookmarkEnd w:id="12"/>
      <w:r>
        <w:br w:type="page"/>
      </w:r>
    </w:p>
    <w:tbl>
      <w:tblPr>
        <w:tblW w:w="3554" w:type="dxa"/>
        <w:jc w:val="left"/>
        <w:tblInd w:w="0" w:type="dxa"/>
        <w:tblLayout w:type="fixed"/>
        <w:tblCellMar>
          <w:top w:w="28" w:type="dxa"/>
          <w:left w:w="28" w:type="dxa"/>
          <w:bottom w:w="28" w:type="dxa"/>
          <w:right w:w="28" w:type="dxa"/>
        </w:tblCellMar>
      </w:tblPr>
      <w:tblGrid>
        <w:gridCol w:w="3400"/>
        <w:gridCol w:w="154"/>
      </w:tblGrid>
      <w:tr>
        <w:trPr/>
        <w:tc>
          <w:tcPr>
            <w:tcW w:w="355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0" w:type="dxa"/>
            <w:tcBorders/>
            <w:vAlign w:val="center"/>
          </w:tcPr>
          <w:p>
            <w:pPr>
              <w:pStyle w:val="TableContents"/>
              <w:bidi w:val="0"/>
              <w:spacing w:before="0" w:after="283"/>
              <w:jc w:val="left"/>
              <w:rPr>
                <w:b/>
              </w:rPr>
            </w:pPr>
            <w:r>
              <w:rPr>
                <w:b/>
              </w:rPr>
              <w:t xml:space="preserve">AVNET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$1.00 par value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3,000,000 </w:t>
            </w:r>
          </w:p>
        </w:tc>
        <w:tc>
          <w:tcPr>
            <w:tcW w:w="1183" w:type="dxa"/>
            <w:tcBorders/>
            <w:shd w:fill="E7E7E2" w:val="clear"/>
            <w:vAlign w:val="center"/>
          </w:tcPr>
          <w:p>
            <w:pPr>
              <w:pStyle w:val="TableContents"/>
              <w:bidi w:val="0"/>
              <w:spacing w:before="0" w:after="283"/>
              <w:jc w:val="right"/>
              <w:rPr/>
            </w:pPr>
            <w:r>
              <w:rPr/>
              <w:t xml:space="preserve">$ 97.51 </w:t>
            </w:r>
          </w:p>
        </w:tc>
        <w:tc>
          <w:tcPr>
            <w:tcW w:w="1801" w:type="dxa"/>
            <w:tcBorders/>
            <w:shd w:fill="E7E7E2" w:val="clear"/>
            <w:vAlign w:val="center"/>
          </w:tcPr>
          <w:p>
            <w:pPr>
              <w:pStyle w:val="TableContents"/>
              <w:bidi w:val="0"/>
              <w:spacing w:before="0" w:after="283"/>
              <w:jc w:val="right"/>
              <w:rPr/>
            </w:pPr>
            <w:r>
              <w:rPr/>
              <w:t xml:space="preserve">$ 292,530,000.00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$ 40,398.39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3" w:name="MaxAggtOfferingPrice"/>
            <w:bookmarkEnd w:id="13"/>
            <w:r>
              <w:rPr/>
              <w:t xml:space="preserve">$ 292,530,000.00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$ 40,398.39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6" w:name="NetFeeAmt"/>
            <w:bookmarkEnd w:id="16"/>
            <w:r>
              <w:rPr/>
              <w:t xml:space="preserve">$ 40,398.39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3"/>
        <w:gridCol w:w="8709"/>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any additional shares of the Registrant's Common Stock (the "Common Stock") that become issuable under the Avnet, Inc. 2025 Stock Compensation and Incentive Plan by reason of any stock dividend, stock split, recapitalization or other similar transactions. (2) Estimated solely for the purpose of calculating the amount of the registration fee pursuant to Rules 457(c) and 457(h) under the Securities Act, and based upon the average of the high and low prices of the Common Stock on August 10, 2026, as reported on the Nasdaq Global Select Market. (3) The registrant does not have any fee offsets.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858/000110465926096346/avt-20260627x10k.htm" TargetMode="External"/><Relationship Id="rId3" Type="http://schemas.openxmlformats.org/officeDocument/2006/relationships/hyperlink" Target="https://www.sec.gov/ix?doc=/Archives/edgar/data/8858/000000885826000062/avt-20260701x8k.htm" TargetMode="External"/><Relationship Id="rId4" Type="http://schemas.openxmlformats.org/officeDocument/2006/relationships/hyperlink" Target="https://www.sec.gov/Archives/edgar/data/8858/000000885819000035/avt-20190629ex41617fba7.htm" TargetMode="External"/><Relationship Id="rId5" Type="http://schemas.openxmlformats.org/officeDocument/2006/relationships/hyperlink" Target="https://www.sec.gov/Archives/edgar/data/8858/000095015301000138/p64582ex3-i.txt" TargetMode="External"/><Relationship Id="rId6" Type="http://schemas.openxmlformats.org/officeDocument/2006/relationships/hyperlink" Target="https://www.sec.gov/Archives/edgar/data/8858/000110465923063702/tm2316137d1_ex3-1.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4148</Words>
  <Characters>21805</Characters>
  <CharactersWithSpaces>25948</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