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KHAYKIN OLEG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2211 SOUTH 47TH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AVNET INC</w:t>
              </w:r>
            </w:hyperlink>
            <w:r>
              <w:rPr/>
              <w:t xml:space="preserve"> [ </w:t>
            </w:r>
            <w:r>
              <w:rPr>
                <w:rFonts w:ascii="Times;serif" w:hAnsi="Times;serif"/>
                <w:color w:val="0000FF"/>
                <w:sz w:val="24"/>
                <w:shd w:fill="FFFFFF" w:val="clear"/>
              </w:rPr>
              <w:t>AVT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596</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56,864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Stock Unit ("PSU") equals one share of the Issuer's common stock, and will be settled in the Issuer's common stock after the reporting person leaves the Issuer's Board or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has elected to defer 100% of the director's quarterly cash retainer, so PSUs were issued in lieu of cash, pursuant to the Avnet, Inc. Deferred Compensation Plan for Outside Directors. The PSUs were issued based on $60.855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Darrel S. Jackson,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8725" TargetMode="External"/><Relationship Id="rId5" Type="http://schemas.openxmlformats.org/officeDocument/2006/relationships/hyperlink" Target="http://www.sec.gov/cgi-bin/browse-edgar?action=getcompany&amp;CIK=0000008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3476</Characters>
  <CharactersWithSpaces>4063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