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4313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313555"/>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KHAYKIN OLEG</w:t>
              </w:r>
            </w:hyperlink>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7"/>
          </w:tcPr>
          <w:p>
            <w:pPr>
              <w:ind w:left="60"/>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AVNET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3"/>
                <w:szCs w:val="3"/>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AVNET, INC.</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07/01/2026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2211 SOUTH 47TH STREET</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2"/>
                <w:szCs w:val="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PHOENIX</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AZ</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85034</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gridSpan w:val="2"/>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9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gridSpan w:val="5"/>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gridSpan w:val="5"/>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9,000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6"/>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20" w:type="dxa"/>
            <w:vAlign w:val="bottom"/>
            <w:gridSpan w:val="15"/>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2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412.2598</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412.2598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3"/>
                <w:szCs w:val="13"/>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0000FF"/>
              </w:rPr>
              <w:t>07/01/2026</w:t>
            </w:r>
          </w:p>
        </w:tc>
        <w:tc>
          <w:tcPr>
            <w:tcW w:w="1020" w:type="dxa"/>
            <w:vAlign w:val="bottom"/>
          </w:tcPr>
          <w:p>
            <w:pPr>
              <w:spacing w:after="0"/>
              <w:rPr>
                <w:sz w:val="13"/>
                <w:szCs w:val="13"/>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87.93</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57,495</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line="211"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3"/>
            <w:vMerge w:val="continue"/>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-1559560</wp:posOffset>
            </wp:positionV>
            <wp:extent cx="2857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6527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40" w:hanging="3"/>
        <w:spacing w:after="0" w:line="26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Phantom Stock Unit ("PSU") equals one share of the Issuer's common stock, and will be settled in the Issuer's common stock after the reporting person leaves the Issuer's Board or upon change of control of the Issuer.</w:t>
      </w:r>
    </w:p>
    <w:p>
      <w:pPr>
        <w:spacing w:after="0" w:line="173" w:lineRule="exact"/>
        <w:rPr>
          <w:rFonts w:ascii="Times New Roman" w:cs="Times New Roman" w:eastAsia="Times New Roman" w:hAnsi="Times New Roman"/>
          <w:sz w:val="12"/>
          <w:szCs w:val="12"/>
          <w:color w:val="008000"/>
        </w:rPr>
      </w:pPr>
    </w:p>
    <w:p>
      <w:pPr>
        <w:ind w:left="40" w:right="1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has elected to defer 100% of his quarterly cash retainer, so PSUs were issued in lieu of cash, pursuant to the Avnet, Inc. Deferred Compensation Plan for Outside Directors. The PSUs were issued based on $87.93 per share.</w:t>
      </w:r>
    </w:p>
    <w:tbl>
      <w:tblPr>
        <w:tblLayout w:type="fixed"/>
        <w:tblInd w:w="6600" w:type="dxa"/>
        <w:tblCellMar>
          <w:top w:w="0" w:type="dxa"/>
          <w:left w:w="0" w:type="dxa"/>
          <w:bottom w:w="0" w:type="dxa"/>
          <w:right w:w="0" w:type="dxa"/>
        </w:tblCellMar>
      </w:tblPr>
      <w:tr>
        <w:trPr>
          <w:trHeight w:val="200"/>
        </w:trPr>
        <w:tc>
          <w:tcPr>
            <w:tcW w:w="2020" w:type="dxa"/>
            <w:vAlign w:val="bottom"/>
            <w:tcBorders>
              <w:bottom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color w:val="0000FF"/>
                <w:w w:val="99"/>
              </w:rPr>
              <w:t>/s/ Darrel S. Jackson, Attorney-</w:t>
            </w:r>
          </w:p>
        </w:tc>
        <w:tc>
          <w:tcPr>
            <w:tcW w:w="18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07/02/2026</w:t>
            </w:r>
          </w:p>
        </w:tc>
        <w:tc>
          <w:tcPr>
            <w:tcW w:w="0" w:type="dxa"/>
            <w:vAlign w:val="bottom"/>
          </w:tcPr>
          <w:p>
            <w:pPr>
              <w:spacing w:after="0"/>
              <w:rPr>
                <w:sz w:val="1"/>
                <w:szCs w:val="1"/>
                <w:color w:val="auto"/>
              </w:rPr>
            </w:pPr>
          </w:p>
        </w:tc>
      </w:tr>
      <w:tr>
        <w:trPr>
          <w:trHeight w:val="84"/>
        </w:trPr>
        <w:tc>
          <w:tcPr>
            <w:tcW w:w="46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5"/>
              </w:rPr>
              <w:t>In-Fact</w:t>
            </w:r>
          </w:p>
        </w:tc>
        <w:tc>
          <w:tcPr>
            <w:tcW w:w="174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60" w:type="dxa"/>
            <w:vAlign w:val="bottom"/>
            <w:tcBorders>
              <w:bottom w:val="single" w:sz="8" w:color="auto"/>
            </w:tcBorders>
            <w:vMerge w:val="continue"/>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725"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2026-07-02T15:24:16Z</dcterms:created>
  <dcterms:modified xsi:type="dcterms:W3CDTF">2026-07-02T15:24:16Z</dcterms:modified>
</cp:coreProperties>
</file>